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65" w:x="7342" w:y="212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YouYuan" w:hAnsi="YouYuan" w:cs="YouYuan"/>
          <w:color w:val="000000"/>
          <w:spacing w:val="0"/>
          <w:sz w:val="29"/>
        </w:rPr>
        <w:t>物业费催收计划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108" w:x="3662" w:y="40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关于</w:t>
      </w:r>
      <w:r>
        <w:rPr>
          <w:rFonts w:ascii="Times New Roman"/>
          <w:color w:val="000000"/>
          <w:spacing w:val="6"/>
          <w:sz w:val="48"/>
        </w:rPr>
        <w:t xml:space="preserve"> </w:t>
      </w:r>
      <w:r>
        <w:rPr>
          <w:rFonts w:ascii="FRPTCI+Nimbus Roman No9 L Regular"/>
          <w:color w:val="000000"/>
          <w:spacing w:val="-1"/>
          <w:sz w:val="48"/>
        </w:rPr>
        <w:t>XX</w:t>
      </w:r>
      <w:r>
        <w:rPr>
          <w:rFonts w:ascii="Times New Roman"/>
          <w:color w:val="000000"/>
          <w:spacing w:val="-23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项目物业费催收计划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766" w:x="3662" w:y="498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为了进一步提高物业管理费收缴率，收回历史欠费，保障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594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公司良好的经济收益，根据项目实际情况，特制定以下历史欠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2701" w:y="690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费追缴计划：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057" w:x="3662" w:y="786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一、成立欠费追收小组；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8" w:x="3662" w:y="882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组长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62" w:y="978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副组长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8" w:x="3662" w:y="1074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名称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14" w:x="3662" w:y="116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0"/>
          <w:sz w:val="48"/>
        </w:rPr>
        <w:t>第</w:t>
      </w:r>
      <w:r>
        <w:rPr>
          <w:rFonts w:ascii="Times New Roman"/>
          <w:color w:val="000000"/>
          <w:spacing w:val="1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-25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小组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14" w:x="3662" w:y="126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0"/>
          <w:sz w:val="48"/>
        </w:rPr>
        <w:t>第</w:t>
      </w:r>
      <w:r>
        <w:rPr>
          <w:rFonts w:ascii="Times New Roman"/>
          <w:color w:val="000000"/>
          <w:spacing w:val="1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-25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小组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14" w:x="3662" w:y="136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0"/>
          <w:sz w:val="48"/>
        </w:rPr>
        <w:t>第</w:t>
      </w:r>
      <w:r>
        <w:rPr>
          <w:rFonts w:ascii="Times New Roman"/>
          <w:color w:val="000000"/>
          <w:spacing w:val="1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3</w:t>
      </w:r>
      <w:r>
        <w:rPr>
          <w:rFonts w:ascii="Times New Roman"/>
          <w:color w:val="000000"/>
          <w:spacing w:val="-25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小组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14" w:x="3662" w:y="145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0"/>
          <w:sz w:val="48"/>
        </w:rPr>
        <w:t>第</w:t>
      </w:r>
      <w:r>
        <w:rPr>
          <w:rFonts w:ascii="Times New Roman"/>
          <w:color w:val="000000"/>
          <w:spacing w:val="1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4</w:t>
      </w:r>
      <w:r>
        <w:rPr>
          <w:rFonts w:ascii="Times New Roman"/>
          <w:color w:val="000000"/>
          <w:spacing w:val="-25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小组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057" w:x="3662" w:y="1554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二、往年欠费统计情况；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918" w:x="2701" w:y="1649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RPTCI+Nimbus Roman No9 L Regular"/>
          <w:color w:val="000000"/>
          <w:spacing w:val="-1"/>
          <w:sz w:val="48"/>
        </w:rPr>
        <w:t>XX</w:t>
      </w:r>
      <w:r>
        <w:rPr>
          <w:rFonts w:ascii="Times New Roman"/>
          <w:color w:val="000000"/>
          <w:spacing w:val="-23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项目往年物业服务费总欠费</w:t>
      </w:r>
      <w:r>
        <w:rPr>
          <w:rFonts w:ascii="Times New Roman"/>
          <w:color w:val="000000"/>
          <w:spacing w:val="36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27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户，金额</w:t>
      </w:r>
      <w:r>
        <w:rPr>
          <w:rFonts w:ascii="Times New Roman"/>
          <w:color w:val="000000"/>
          <w:spacing w:val="17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31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元，截止至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918" w:x="2701" w:y="16497"/>
        <w:widowControl w:val="off"/>
        <w:autoSpaceDE w:val="off"/>
        <w:autoSpaceDN w:val="off"/>
        <w:spacing w:before="48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RPTCI+Nimbus Roman No9 L Regular"/>
          <w:color w:val="000000"/>
          <w:spacing w:val="-1"/>
          <w:sz w:val="48"/>
        </w:rPr>
        <w:t>201X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FangSong" w:hAnsi="FangSong" w:cs="FangSong"/>
          <w:color w:val="000000"/>
          <w:spacing w:val="0"/>
          <w:sz w:val="48"/>
        </w:rPr>
        <w:t>年</w:t>
      </w:r>
      <w:r>
        <w:rPr>
          <w:rFonts w:ascii="Times New Roman"/>
          <w:color w:val="000000"/>
          <w:spacing w:val="48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9"/>
          <w:sz w:val="48"/>
        </w:rPr>
        <w:t xml:space="preserve"> </w:t>
      </w:r>
      <w:r>
        <w:rPr>
          <w:rFonts w:ascii="FangSong" w:hAnsi="FangSong" w:cs="FangSong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48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5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日已追缴</w:t>
      </w:r>
      <w:r>
        <w:rPr>
          <w:rFonts w:ascii="Times New Roman"/>
          <w:color w:val="000000"/>
          <w:spacing w:val="53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6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户，金额</w:t>
      </w:r>
      <w:r>
        <w:rPr>
          <w:rFonts w:ascii="Times New Roman"/>
          <w:color w:val="000000"/>
          <w:spacing w:val="50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6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元，未追回</w:t>
      </w:r>
      <w:r>
        <w:rPr>
          <w:rFonts w:ascii="Times New Roman"/>
          <w:color w:val="000000"/>
          <w:spacing w:val="54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6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户，金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918" w:x="2701" w:y="16497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0"/>
          <w:sz w:val="48"/>
        </w:rPr>
        <w:t>额</w:t>
      </w:r>
      <w:r>
        <w:rPr>
          <w:rFonts w:ascii="Times New Roman"/>
          <w:color w:val="000000"/>
          <w:spacing w:val="1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2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元，综合追缴率</w:t>
      </w:r>
      <w:r>
        <w:rPr>
          <w:rFonts w:ascii="Times New Roman"/>
          <w:color w:val="000000"/>
          <w:spacing w:val="10"/>
          <w:sz w:val="48"/>
        </w:rPr>
        <w:t xml:space="preserve"> </w:t>
      </w:r>
      <w:r>
        <w:rPr>
          <w:rFonts w:ascii="FRPTCI+Nimbus Roman No9 L Regular"/>
          <w:color w:val="000000"/>
          <w:spacing w:val="-1"/>
          <w:sz w:val="48"/>
        </w:rPr>
        <w:t>X%</w:t>
      </w:r>
      <w:r>
        <w:rPr>
          <w:rFonts w:ascii="FangSong" w:hAnsi="FangSong" w:cs="FangSong"/>
          <w:color w:val="000000"/>
          <w:spacing w:val="0"/>
          <w:sz w:val="48"/>
        </w:rPr>
        <w:t>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97" w:x="2701" w:y="2095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情况说明：未追回欠费当中，其中有</w:t>
      </w:r>
      <w:r>
        <w:rPr>
          <w:rFonts w:ascii="Times New Roman"/>
          <w:color w:val="000000"/>
          <w:spacing w:val="274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77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户已进行起诉，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7" w:x="2701" w:y="2095"/>
        <w:widowControl w:val="off"/>
        <w:autoSpaceDE w:val="off"/>
        <w:autoSpaceDN w:val="off"/>
        <w:spacing w:before="47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未追回金额共</w:t>
      </w:r>
      <w:r>
        <w:rPr>
          <w:rFonts w:ascii="Times New Roman"/>
          <w:color w:val="000000"/>
          <w:spacing w:val="103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38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元，占总欠费</w:t>
      </w:r>
      <w:r>
        <w:rPr>
          <w:rFonts w:ascii="Times New Roman"/>
          <w:color w:val="000000"/>
          <w:spacing w:val="103"/>
          <w:sz w:val="48"/>
        </w:rPr>
        <w:t xml:space="preserve"> </w:t>
      </w:r>
      <w:r>
        <w:rPr>
          <w:rFonts w:ascii="FRPTCI+Nimbus Roman No9 L Regular"/>
          <w:color w:val="000000"/>
          <w:spacing w:val="-2"/>
          <w:sz w:val="48"/>
        </w:rPr>
        <w:t>X%</w:t>
      </w:r>
      <w:r>
        <w:rPr>
          <w:rFonts w:ascii="FangSong" w:hAnsi="FangSong" w:cs="FangSong"/>
          <w:color w:val="000000"/>
          <w:spacing w:val="-1"/>
          <w:sz w:val="48"/>
        </w:rPr>
        <w:t>；目前该</w:t>
      </w:r>
      <w:r>
        <w:rPr>
          <w:rFonts w:ascii="Times New Roman"/>
          <w:color w:val="000000"/>
          <w:spacing w:val="100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41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户已经强制执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7" w:x="2701" w:y="2095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行，至今未能收回。此原因，导致目前指标完成偏低。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7" w:x="2701" w:y="2095"/>
        <w:widowControl w:val="off"/>
        <w:autoSpaceDE w:val="off"/>
        <w:autoSpaceDN w:val="off"/>
        <w:spacing w:before="482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下一步安排：目前该</w:t>
      </w:r>
      <w:r>
        <w:rPr>
          <w:rFonts w:ascii="Times New Roman"/>
          <w:color w:val="000000"/>
          <w:spacing w:val="209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77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户已强制执行，结案文书，已和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7" w:x="2701" w:y="2095"/>
        <w:widowControl w:val="off"/>
        <w:autoSpaceDE w:val="off"/>
        <w:autoSpaceDN w:val="off"/>
        <w:spacing w:before="47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1"/>
          <w:sz w:val="48"/>
        </w:rPr>
        <w:t>法院沟通，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9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月底会收到一批文书，届时我司会根据坏账申请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7" w:x="2701" w:y="2095"/>
        <w:widowControl w:val="off"/>
        <w:autoSpaceDE w:val="off"/>
        <w:autoSpaceDN w:val="off"/>
        <w:spacing w:before="483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管理办法处理，在</w:t>
      </w:r>
      <w:r>
        <w:rPr>
          <w:rFonts w:ascii="Times New Roman"/>
          <w:color w:val="000000"/>
          <w:spacing w:val="10"/>
          <w:sz w:val="48"/>
        </w:rPr>
        <w:t xml:space="preserve"> </w:t>
      </w:r>
      <w:r>
        <w:rPr>
          <w:rFonts w:ascii="FRPTCI+Nimbus Roman No9 L Regular"/>
          <w:color w:val="000000"/>
          <w:spacing w:val="0"/>
          <w:sz w:val="48"/>
        </w:rPr>
        <w:t>X</w:t>
      </w:r>
      <w:r>
        <w:rPr>
          <w:rFonts w:ascii="Times New Roman"/>
          <w:color w:val="000000"/>
          <w:spacing w:val="-24"/>
          <w:sz w:val="48"/>
        </w:rPr>
        <w:t xml:space="preserve"> </w:t>
      </w:r>
      <w:r>
        <w:rPr>
          <w:rFonts w:ascii="FangSong" w:hAnsi="FangSong" w:cs="FangSong"/>
          <w:color w:val="000000"/>
          <w:spacing w:val="-1"/>
          <w:sz w:val="48"/>
        </w:rPr>
        <w:t>月中旬完成指标。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62" w:y="786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三、欠费原因及处理措施；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739" w:x="3662" w:y="88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RPTCI+Nimbus Roman No9 L Regular"/>
          <w:color w:val="000000"/>
          <w:spacing w:val="1"/>
          <w:sz w:val="48"/>
        </w:rPr>
        <w:t>1</w:t>
      </w:r>
      <w:r>
        <w:rPr>
          <w:rFonts w:ascii="FangSong" w:hAnsi="FangSong" w:cs="FangSong"/>
          <w:color w:val="000000"/>
          <w:spacing w:val="-1"/>
          <w:sz w:val="48"/>
        </w:rPr>
        <w:t>、因房屋存在工程修理问题未交管理费的；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处理措施：一是对于在保修期内的房屋遗留工程是因施工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单位未及时修理而影响业主居住的情形，通知保修施工单位及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47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时给予完成修理，说服业主缴纳欠费。二是假如是修理代价较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483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小的工程，并且欠费数量较大的业主，由物业公司的工程部恰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当做出一些免费小修理，以较小的代价收回拖欠的物业管理费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47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用，体现为业主效劳的意识。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638" w:x="3662" w:y="1553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RPTCI+Nimbus Roman No9 L Regular"/>
          <w:color w:val="000000"/>
          <w:spacing w:val="1"/>
          <w:sz w:val="48"/>
        </w:rPr>
        <w:t>2</w:t>
      </w:r>
      <w:r>
        <w:rPr>
          <w:rFonts w:ascii="FangSong" w:hAnsi="FangSong" w:cs="FangSong"/>
          <w:color w:val="000000"/>
          <w:spacing w:val="-1"/>
          <w:sz w:val="48"/>
        </w:rPr>
        <w:t>、因物业效劳不惬意而拒交管理费的；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6510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处理措施：由客服经理协同区域管家上门与业主进行面对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6510"/>
        <w:widowControl w:val="off"/>
        <w:autoSpaceDE w:val="off"/>
        <w:autoSpaceDN w:val="off"/>
        <w:spacing w:before="48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面沟通，了解业主对物业服务不满意具体事项和原因，客服部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6510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针对业主提出的意见，及时协调各业务部门安排人员有针对性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6510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的进行整改，并做好业主安抚和慰问工作，化解业主的不满，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6510"/>
        <w:widowControl w:val="off"/>
        <w:autoSpaceDE w:val="off"/>
        <w:autoSpaceDN w:val="off"/>
        <w:spacing w:before="47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收回欠费。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71" w:x="2701" w:y="2095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KTVUWE+Nimbus Roman No9 L Regular"/>
          <w:color w:val="000000"/>
          <w:spacing w:val="1"/>
          <w:sz w:val="48"/>
        </w:rPr>
        <w:t>4</w:t>
      </w:r>
      <w:r>
        <w:rPr>
          <w:rFonts w:ascii="FangSong" w:hAnsi="FangSong" w:cs="FangSong"/>
          <w:color w:val="000000"/>
          <w:spacing w:val="-1"/>
          <w:sz w:val="48"/>
        </w:rPr>
        <w:t>、业主无理由而长期欠费的；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2095"/>
        <w:widowControl w:val="off"/>
        <w:autoSpaceDE w:val="off"/>
        <w:autoSpaceDN w:val="off"/>
        <w:spacing w:before="479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处理措施：对些情形，物业效劳中心在经过多放电话、上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2095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门、发催费信等方式后仍欠费的业主，搜集业主欠费的材料向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2095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法院提起诉讼，依法追收拖欠的物业管理费用，保障物业公司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2095"/>
        <w:widowControl w:val="off"/>
        <w:autoSpaceDE w:val="off"/>
        <w:autoSpaceDN w:val="off"/>
        <w:spacing w:before="479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的正当权益。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59" w:x="3662" w:y="6895"/>
        <w:widowControl w:val="off"/>
        <w:autoSpaceDE w:val="off"/>
        <w:autoSpaceDN w:val="off"/>
        <w:spacing w:before="0" w:after="0" w:line="431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KTVUWE+Nimbus Roman No9 L Regular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62" w:y="786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成员姓名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550" w:x="3662" w:y="882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全面统筹收费工作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组织数据录入、统计、信息发布，资料收集归档，对接房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9788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产代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709" w:x="3662" w:y="1170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付费用、组织催费工作施行工作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3" w:x="2701" w:y="12656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工作区域管理户数追缴方针备注</w:t>
      </w:r>
      <w:r>
        <w:rPr>
          <w:rFonts w:ascii="Times New Roman"/>
          <w:color w:val="000000"/>
          <w:spacing w:val="137"/>
          <w:sz w:val="48"/>
        </w:rPr>
        <w:t xml:space="preserve"> </w:t>
      </w:r>
      <w:r>
        <w:rPr>
          <w:rFonts w:ascii="KTVUWE+Nimbus Roman No9 L Regular"/>
          <w:color w:val="000000"/>
          <w:spacing w:val="1"/>
          <w:sz w:val="48"/>
        </w:rPr>
        <w:t>5</w:t>
      </w:r>
      <w:r>
        <w:rPr>
          <w:rFonts w:ascii="FangSong" w:hAnsi="FangSong" w:cs="FangSong"/>
          <w:color w:val="000000"/>
          <w:spacing w:val="-1"/>
          <w:sz w:val="48"/>
        </w:rPr>
        <w:t>、物业公司已起诉法院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93" w:x="2701" w:y="12656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讯断破产的；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4587"/>
        <w:widowControl w:val="off"/>
        <w:autoSpaceDE w:val="off"/>
        <w:autoSpaceDN w:val="off"/>
        <w:spacing w:before="0" w:after="0" w:line="479" w:lineRule="exact"/>
        <w:ind w:left="96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处理措施：对此情况，物业服务中心将联系有二手业主接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4587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手的单元，通知新业主交费并办理转名过户，对于新业主不愿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4587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意交纳旧业主的欠费报公司申请坏帐豁免处理；对于法院已判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4587"/>
        <w:widowControl w:val="off"/>
        <w:autoSpaceDE w:val="off"/>
        <w:autoSpaceDN w:val="off"/>
        <w:spacing w:before="48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决无财产可分配而房屋暂未拍卖的单元，在年底统一报公司申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1" w:x="2701" w:y="14587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请呆帐处理。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62" w:y="1939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四、追缴欠费的实施方案；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34" w:x="3662" w:y="2033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KTVUWE+Nimbus Roman No9 L Regular"/>
          <w:color w:val="000000"/>
          <w:spacing w:val="1"/>
          <w:sz w:val="48"/>
        </w:rPr>
        <w:t>1</w:t>
      </w:r>
      <w:r>
        <w:rPr>
          <w:rFonts w:ascii="FangSong" w:hAnsi="FangSong" w:cs="FangSong"/>
          <w:color w:val="000000"/>
          <w:spacing w:val="-1"/>
          <w:sz w:val="48"/>
        </w:rPr>
        <w:t>、追缴欠费的时间安排；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452" w:x="4205" w:y="15443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Hei" w:hAnsi="SimHei" w:cs="SimHei"/>
          <w:color w:val="000000"/>
          <w:spacing w:val="0"/>
          <w:sz w:val="54"/>
        </w:rPr>
        <w:t>第一步：电话和微信催缴；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920pt;height:1190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75" w:x="2701" w:y="3066"/>
        <w:widowControl w:val="off"/>
        <w:autoSpaceDE w:val="off"/>
        <w:autoSpaceDN w:val="off"/>
        <w:spacing w:before="0" w:after="0" w:line="479" w:lineRule="exact"/>
        <w:ind w:left="1443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第四步：通过邮局向居住地址寄发催缴信，用于当作起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75" w:x="2701" w:y="3066"/>
        <w:widowControl w:val="off"/>
        <w:autoSpaceDE w:val="off"/>
        <w:autoSpaceDN w:val="off"/>
        <w:spacing w:before="482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FangSong" w:hAnsi="FangSong" w:cs="FangSong"/>
          <w:color w:val="000000"/>
          <w:spacing w:val="-1"/>
          <w:sz w:val="48"/>
        </w:rPr>
        <w:t>诉证据；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920pt;height:1190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RPTCI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3A79E3A-0000-0000-0000-000000000000}"/>
  </w:font>
  <w:font w:name="KTVUWE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97E5E18-0000-0000-0000-000000000000}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5</Pages>
  <Words>110</Words>
  <Characters>996</Characters>
  <Application>Aspose</Application>
  <DocSecurity>0</DocSecurity>
  <Lines>60</Lines>
  <Paragraphs>60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1038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2023-02-16T13:51:52+08:00</dcterms:created>
  <dcterms:modified xmlns:xsi="http://www.w3.org/2001/XMLSchema-instance" xmlns:dcterms="http://purl.org/dc/terms/" xsi:type="dcterms:W3CDTF">2023-02-16T13:51:52+08:00</dcterms:modified>
</coreProperties>
</file>